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D9" w:rsidRDefault="005534D9" w:rsidP="005534D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21202" w:rsidRPr="00F03D1E" w:rsidRDefault="00E21202" w:rsidP="00E21202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4</w:t>
      </w:r>
      <w:r w:rsidRPr="00F03D1E">
        <w:rPr>
          <w:rFonts w:ascii="Tahoma" w:hAnsi="Tahoma" w:cs="Tahoma"/>
          <w:b/>
          <w:bCs/>
          <w:szCs w:val="24"/>
        </w:rPr>
        <w:t>/</w:t>
      </w:r>
      <w:r>
        <w:rPr>
          <w:rFonts w:ascii="Tahoma" w:hAnsi="Tahoma" w:cs="Tahoma"/>
          <w:b/>
          <w:bCs/>
          <w:szCs w:val="24"/>
        </w:rPr>
        <w:t>1</w:t>
      </w:r>
      <w:r w:rsidR="00EC60F4">
        <w:rPr>
          <w:rFonts w:ascii="Tahoma" w:hAnsi="Tahoma" w:cs="Tahoma"/>
          <w:b/>
          <w:bCs/>
          <w:szCs w:val="24"/>
        </w:rPr>
        <w:t>a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K projednání v zastupitelstvu města dne </w:t>
      </w:r>
      <w:r>
        <w:rPr>
          <w:rFonts w:ascii="Tahoma" w:hAnsi="Tahoma" w:cs="Tahoma"/>
          <w:sz w:val="20"/>
          <w:szCs w:val="20"/>
        </w:rPr>
        <w:t>15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prosince</w:t>
      </w:r>
      <w:r w:rsidRPr="00F03D1E">
        <w:rPr>
          <w:rFonts w:ascii="Tahoma" w:hAnsi="Tahoma" w:cs="Tahoma"/>
          <w:sz w:val="20"/>
          <w:szCs w:val="20"/>
        </w:rPr>
        <w:t xml:space="preserve"> 2021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E21202" w:rsidRPr="00F03D1E" w:rsidRDefault="00E21202" w:rsidP="00E21202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8E1BC5" w:rsidRPr="003F352D" w:rsidRDefault="00EC60F4" w:rsidP="008E1BC5">
      <w:pPr>
        <w:pStyle w:val="Nadpis2"/>
      </w:pPr>
      <w:bookmarkStart w:id="0" w:name="_GoBack"/>
      <w:bookmarkEnd w:id="0"/>
      <w:r>
        <w:lastRenderedPageBreak/>
        <w:t>1</w:t>
      </w:r>
      <w:r w:rsidR="008E1BC5" w:rsidRPr="003F352D">
        <w:t>) Cena vodného a stočného na rok 2022</w:t>
      </w:r>
    </w:p>
    <w:p w:rsidR="008E1BC5" w:rsidRPr="003F352D" w:rsidRDefault="008E1BC5" w:rsidP="008E1BC5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F352D">
        <w:rPr>
          <w:rFonts w:ascii="Tahoma" w:eastAsia="Times New Roman" w:hAnsi="Tahoma" w:cs="Tahoma"/>
          <w:b/>
          <w:bCs/>
          <w:szCs w:val="24"/>
          <w:lang w:eastAsia="cs-CZ"/>
        </w:rPr>
        <w:t xml:space="preserve">       </w:t>
      </w:r>
      <w:r w:rsidRPr="003F352D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Výše nájemného z vodohospodářské infrastruktury na rok 2022</w:t>
      </w:r>
    </w:p>
    <w:p w:rsidR="008E1BC5" w:rsidRDefault="008E1BC5" w:rsidP="008E1BC5">
      <w:pPr>
        <w:spacing w:after="0"/>
        <w:rPr>
          <w:rFonts w:ascii="Tahoma" w:hAnsi="Tahoma" w:cs="Tahoma"/>
        </w:rPr>
      </w:pPr>
    </w:p>
    <w:p w:rsidR="00267200" w:rsidRDefault="00267200" w:rsidP="00267200">
      <w:pPr>
        <w:spacing w:after="0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RM po projednání doporučuje ZM přijmout následující usnesení:</w:t>
      </w:r>
    </w:p>
    <w:p w:rsidR="00425D0C" w:rsidRDefault="00425D0C" w:rsidP="00267200">
      <w:pPr>
        <w:spacing w:after="0"/>
        <w:rPr>
          <w:rFonts w:ascii="Tahoma" w:hAnsi="Tahoma" w:cs="Tahoma"/>
          <w:i/>
          <w:iCs/>
          <w:sz w:val="20"/>
          <w:szCs w:val="20"/>
        </w:rPr>
      </w:pPr>
    </w:p>
    <w:p w:rsidR="008E1BC5" w:rsidRPr="00C373CB" w:rsidRDefault="008E1BC5" w:rsidP="008E1BC5">
      <w:pPr>
        <w:spacing w:after="0"/>
        <w:jc w:val="left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C373CB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Pr="00C373CB">
        <w:rPr>
          <w:rFonts w:ascii="Tahoma" w:eastAsia="Times New Roman" w:hAnsi="Tahoma" w:cs="Tahoma"/>
          <w:b/>
          <w:sz w:val="20"/>
          <w:szCs w:val="20"/>
          <w:lang w:eastAsia="cs-CZ"/>
        </w:rPr>
        <w:t>:</w:t>
      </w:r>
    </w:p>
    <w:p w:rsidR="008E1BC5" w:rsidRPr="008E1BC5" w:rsidRDefault="008E1BC5" w:rsidP="008E1BC5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Zastupitelstvo města po projednání</w:t>
      </w:r>
    </w:p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I. Schvaluje</w:t>
      </w:r>
    </w:p>
    <w:p w:rsidR="008E1BC5" w:rsidRDefault="008E1BC5" w:rsidP="008E1BC5">
      <w:pPr>
        <w:spacing w:line="259" w:lineRule="auto"/>
        <w:jc w:val="left"/>
        <w:rPr>
          <w:rFonts w:ascii="Tahoma" w:hAnsi="Tahoma" w:cs="Tahoma"/>
          <w:sz w:val="20"/>
          <w:szCs w:val="20"/>
          <w:lang w:eastAsia="cs-CZ"/>
        </w:rPr>
      </w:pPr>
      <w:r w:rsidRPr="008E1BC5">
        <w:rPr>
          <w:rFonts w:ascii="Tahoma" w:hAnsi="Tahoma" w:cs="Tahoma"/>
          <w:sz w:val="20"/>
          <w:szCs w:val="20"/>
          <w:lang w:eastAsia="cs-CZ"/>
        </w:rPr>
        <w:t xml:space="preserve">pro rok 2022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683AF4" w:rsidRPr="00683AF4" w:rsidTr="00683AF4">
        <w:tc>
          <w:tcPr>
            <w:tcW w:w="302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nil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částka bez DPH</w:t>
            </w: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částka včetně DPH</w:t>
            </w:r>
          </w:p>
        </w:tc>
      </w:tr>
      <w:tr w:rsidR="00683AF4" w:rsidRPr="00683AF4" w:rsidTr="00683AF4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cenu vody pitné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63,74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70,11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683AF4" w:rsidRPr="00683AF4" w:rsidTr="00683AF4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cenu vody odpadní</w:t>
            </w:r>
          </w:p>
        </w:tc>
        <w:tc>
          <w:tcPr>
            <w:tcW w:w="3017" w:type="dxa"/>
            <w:shd w:val="clear" w:color="auto" w:fill="DEEAF6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38,48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DEEAF6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42,33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683AF4" w:rsidRPr="00683AF4" w:rsidTr="00683AF4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cena celkem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102,22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112,44 Kč/m</w:t>
            </w:r>
            <w:r w:rsidRPr="00683AF4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683AF4" w:rsidRPr="00683AF4" w:rsidTr="00683AF4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683AF4">
              <w:rPr>
                <w:rFonts w:eastAsia="Times New Roman" w:cs="Times New Roman"/>
                <w:b/>
                <w:bCs/>
                <w:lang w:eastAsia="cs-CZ"/>
              </w:rPr>
              <w:t>výši nájemného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49,010 mil. Kč</w:t>
            </w:r>
          </w:p>
        </w:tc>
        <w:tc>
          <w:tcPr>
            <w:tcW w:w="3017" w:type="dxa"/>
            <w:shd w:val="clear" w:color="auto" w:fill="BDD6EE"/>
          </w:tcPr>
          <w:p w:rsidR="00683AF4" w:rsidRPr="00683AF4" w:rsidRDefault="00683AF4" w:rsidP="00683AF4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683AF4">
              <w:rPr>
                <w:rFonts w:eastAsia="Times New Roman" w:cs="Times New Roman"/>
                <w:b/>
                <w:lang w:eastAsia="cs-CZ"/>
              </w:rPr>
              <w:t>59,302 100 mil. Kč</w:t>
            </w:r>
          </w:p>
        </w:tc>
      </w:tr>
    </w:tbl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Theme="majorEastAsia" w:hAnsi="Tahoma" w:cstheme="majorBidi"/>
          <w:b/>
          <w:sz w:val="20"/>
          <w:szCs w:val="24"/>
          <w:u w:val="single"/>
          <w:lang w:eastAsia="cs-CZ"/>
        </w:rPr>
        <w:t xml:space="preserve">II. Souhlasí </w:t>
      </w:r>
    </w:p>
    <w:p w:rsidR="008E1BC5" w:rsidRPr="008E1BC5" w:rsidRDefault="008E1BC5" w:rsidP="008E1BC5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dodatku č. 23 ke Smlouvě o pronájmu vodohospodářského majetku uzavřené dne </w:t>
      </w:r>
      <w:proofErr w:type="gramStart"/>
      <w:r w:rsidRPr="008E1BC5">
        <w:rPr>
          <w:rFonts w:ascii="Tahoma" w:eastAsia="Times New Roman" w:hAnsi="Tahoma" w:cs="Tahoma"/>
          <w:sz w:val="20"/>
          <w:szCs w:val="20"/>
          <w:lang w:eastAsia="cs-CZ"/>
        </w:rPr>
        <w:t>26.10.2005</w:t>
      </w:r>
      <w:proofErr w:type="gramEnd"/>
      <w:r w:rsidRPr="008E1BC5">
        <w:rPr>
          <w:rFonts w:ascii="Tahoma" w:eastAsia="Times New Roman" w:hAnsi="Tahoma" w:cs="Tahoma"/>
          <w:sz w:val="20"/>
          <w:szCs w:val="20"/>
          <w:lang w:eastAsia="cs-CZ"/>
        </w:rPr>
        <w:t xml:space="preserve"> mezi městem Strakonice a společností Technické služby Strakonice s.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r.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o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, IČ 25156888, se sídlem Raisova 274, Strakonice, jehož předmětem bude stanovení vodného a stočného pro rok 2022 a stanovení výše nájemného pro rok 2022 (viz bod I.).</w:t>
      </w:r>
    </w:p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Theme="majorEastAsia" w:hAnsi="Tahoma" w:cstheme="majorBidi"/>
          <w:b/>
          <w:sz w:val="20"/>
          <w:szCs w:val="24"/>
          <w:u w:val="single"/>
          <w:lang w:eastAsia="cs-CZ"/>
        </w:rPr>
        <w:t xml:space="preserve">III. Pověřuje </w:t>
      </w:r>
    </w:p>
    <w:p w:rsidR="008E1BC5" w:rsidRPr="008E1BC5" w:rsidRDefault="008E1BC5" w:rsidP="008E1BC5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předmětného dodatku.</w:t>
      </w:r>
    </w:p>
    <w:p w:rsidR="008E1BC5" w:rsidRPr="008E1BC5" w:rsidRDefault="008E1BC5" w:rsidP="008E1BC5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2F62E4" w:rsidRDefault="002F62E4" w:rsidP="00DD37C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6959" w:rsidRDefault="00996959" w:rsidP="00DD37C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C373CB" w:rsidRPr="00527FC7" w:rsidRDefault="00C373CB" w:rsidP="00DD37C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sectPr w:rsidR="00C373CB" w:rsidRPr="00527F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706" w:rsidRDefault="00B70706" w:rsidP="00D11FC5">
      <w:pPr>
        <w:spacing w:after="0"/>
      </w:pPr>
      <w:r>
        <w:separator/>
      </w:r>
    </w:p>
  </w:endnote>
  <w:endnote w:type="continuationSeparator" w:id="0">
    <w:p w:rsidR="00B70706" w:rsidRDefault="00B70706" w:rsidP="00D11F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145270"/>
      <w:docPartObj>
        <w:docPartGallery w:val="Page Numbers (Bottom of Page)"/>
        <w:docPartUnique/>
      </w:docPartObj>
    </w:sdtPr>
    <w:sdtEndPr/>
    <w:sdtContent>
      <w:p w:rsidR="00B70706" w:rsidRDefault="00B707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024">
          <w:rPr>
            <w:noProof/>
          </w:rPr>
          <w:t>2</w:t>
        </w:r>
        <w:r>
          <w:fldChar w:fldCharType="end"/>
        </w:r>
      </w:p>
    </w:sdtContent>
  </w:sdt>
  <w:p w:rsidR="00B70706" w:rsidRDefault="00B707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706" w:rsidRDefault="00B70706" w:rsidP="00D11FC5">
      <w:pPr>
        <w:spacing w:after="0"/>
      </w:pPr>
      <w:r>
        <w:separator/>
      </w:r>
    </w:p>
  </w:footnote>
  <w:footnote w:type="continuationSeparator" w:id="0">
    <w:p w:rsidR="00B70706" w:rsidRDefault="00B70706" w:rsidP="00D11F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21"/>
    <w:multiLevelType w:val="hybridMultilevel"/>
    <w:tmpl w:val="8BB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17"/>
    <w:multiLevelType w:val="hybridMultilevel"/>
    <w:tmpl w:val="3112E91E"/>
    <w:lvl w:ilvl="0" w:tplc="7EBEB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24B22"/>
    <w:multiLevelType w:val="hybridMultilevel"/>
    <w:tmpl w:val="7FD479D6"/>
    <w:lvl w:ilvl="0" w:tplc="DAF8DB70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65154A"/>
    <w:multiLevelType w:val="hybridMultilevel"/>
    <w:tmpl w:val="6E2850F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71FA"/>
    <w:multiLevelType w:val="hybridMultilevel"/>
    <w:tmpl w:val="AF7003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91B48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F56F2"/>
    <w:multiLevelType w:val="hybridMultilevel"/>
    <w:tmpl w:val="083E706A"/>
    <w:lvl w:ilvl="0" w:tplc="B622CE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FE7297"/>
    <w:multiLevelType w:val="hybridMultilevel"/>
    <w:tmpl w:val="69509BE2"/>
    <w:lvl w:ilvl="0" w:tplc="43B2962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02"/>
    <w:rsid w:val="000105DC"/>
    <w:rsid w:val="00045087"/>
    <w:rsid w:val="000459C9"/>
    <w:rsid w:val="000B4CD4"/>
    <w:rsid w:val="000D5635"/>
    <w:rsid w:val="000E58C4"/>
    <w:rsid w:val="00130247"/>
    <w:rsid w:val="00144AFB"/>
    <w:rsid w:val="001B6D65"/>
    <w:rsid w:val="002074CA"/>
    <w:rsid w:val="00214BF4"/>
    <w:rsid w:val="002438D4"/>
    <w:rsid w:val="00245A8C"/>
    <w:rsid w:val="00253844"/>
    <w:rsid w:val="0026493C"/>
    <w:rsid w:val="00266F65"/>
    <w:rsid w:val="00267200"/>
    <w:rsid w:val="0029264C"/>
    <w:rsid w:val="002A1539"/>
    <w:rsid w:val="002B512C"/>
    <w:rsid w:val="002E22D2"/>
    <w:rsid w:val="002F62E4"/>
    <w:rsid w:val="003045BB"/>
    <w:rsid w:val="00304FBB"/>
    <w:rsid w:val="00305C7C"/>
    <w:rsid w:val="00317D17"/>
    <w:rsid w:val="00370EA2"/>
    <w:rsid w:val="0037394A"/>
    <w:rsid w:val="003876F3"/>
    <w:rsid w:val="00392D29"/>
    <w:rsid w:val="003A5EA1"/>
    <w:rsid w:val="003E7E12"/>
    <w:rsid w:val="003F352D"/>
    <w:rsid w:val="00400E90"/>
    <w:rsid w:val="00417C91"/>
    <w:rsid w:val="00425D0C"/>
    <w:rsid w:val="004368CA"/>
    <w:rsid w:val="00457F74"/>
    <w:rsid w:val="00470960"/>
    <w:rsid w:val="004848C7"/>
    <w:rsid w:val="005145F1"/>
    <w:rsid w:val="00527FC7"/>
    <w:rsid w:val="005534D9"/>
    <w:rsid w:val="00557EC7"/>
    <w:rsid w:val="00561485"/>
    <w:rsid w:val="00571345"/>
    <w:rsid w:val="00587E88"/>
    <w:rsid w:val="005B06E8"/>
    <w:rsid w:val="005B56DB"/>
    <w:rsid w:val="005B6F41"/>
    <w:rsid w:val="005D1A83"/>
    <w:rsid w:val="005D2751"/>
    <w:rsid w:val="006015AF"/>
    <w:rsid w:val="00607895"/>
    <w:rsid w:val="00615B58"/>
    <w:rsid w:val="00625579"/>
    <w:rsid w:val="00632FCF"/>
    <w:rsid w:val="00646A81"/>
    <w:rsid w:val="00674FAB"/>
    <w:rsid w:val="00683AF4"/>
    <w:rsid w:val="006C45CD"/>
    <w:rsid w:val="007068BF"/>
    <w:rsid w:val="007240D9"/>
    <w:rsid w:val="007473A2"/>
    <w:rsid w:val="00752EE9"/>
    <w:rsid w:val="007838EA"/>
    <w:rsid w:val="007A362B"/>
    <w:rsid w:val="007A366E"/>
    <w:rsid w:val="007A610D"/>
    <w:rsid w:val="007C574B"/>
    <w:rsid w:val="007C63CD"/>
    <w:rsid w:val="007F00B6"/>
    <w:rsid w:val="00824AE9"/>
    <w:rsid w:val="00825E73"/>
    <w:rsid w:val="0087035D"/>
    <w:rsid w:val="008B4561"/>
    <w:rsid w:val="008C7484"/>
    <w:rsid w:val="008E1BC5"/>
    <w:rsid w:val="0090029F"/>
    <w:rsid w:val="00915810"/>
    <w:rsid w:val="0092366A"/>
    <w:rsid w:val="00926524"/>
    <w:rsid w:val="00927F31"/>
    <w:rsid w:val="00931B1A"/>
    <w:rsid w:val="00965A52"/>
    <w:rsid w:val="009715A9"/>
    <w:rsid w:val="00996367"/>
    <w:rsid w:val="00996959"/>
    <w:rsid w:val="009A58E5"/>
    <w:rsid w:val="009B2589"/>
    <w:rsid w:val="009C0AFF"/>
    <w:rsid w:val="009D69E9"/>
    <w:rsid w:val="00A05AFE"/>
    <w:rsid w:val="00A06BEF"/>
    <w:rsid w:val="00A463FF"/>
    <w:rsid w:val="00A524AF"/>
    <w:rsid w:val="00A7571F"/>
    <w:rsid w:val="00A81401"/>
    <w:rsid w:val="00A95E55"/>
    <w:rsid w:val="00AC4249"/>
    <w:rsid w:val="00AC4347"/>
    <w:rsid w:val="00AF0E47"/>
    <w:rsid w:val="00AF6976"/>
    <w:rsid w:val="00B310E5"/>
    <w:rsid w:val="00B34C00"/>
    <w:rsid w:val="00B40FD3"/>
    <w:rsid w:val="00B5321F"/>
    <w:rsid w:val="00B70706"/>
    <w:rsid w:val="00B76675"/>
    <w:rsid w:val="00B92126"/>
    <w:rsid w:val="00BA1C3B"/>
    <w:rsid w:val="00BB0B0A"/>
    <w:rsid w:val="00BC02B4"/>
    <w:rsid w:val="00BE187E"/>
    <w:rsid w:val="00BE250B"/>
    <w:rsid w:val="00BE4ECF"/>
    <w:rsid w:val="00C14F30"/>
    <w:rsid w:val="00C373CB"/>
    <w:rsid w:val="00C65C62"/>
    <w:rsid w:val="00C72AED"/>
    <w:rsid w:val="00C777BE"/>
    <w:rsid w:val="00C86667"/>
    <w:rsid w:val="00C90CF5"/>
    <w:rsid w:val="00CB32BB"/>
    <w:rsid w:val="00CF0070"/>
    <w:rsid w:val="00D10510"/>
    <w:rsid w:val="00D1174D"/>
    <w:rsid w:val="00D11E26"/>
    <w:rsid w:val="00D11FC5"/>
    <w:rsid w:val="00D22024"/>
    <w:rsid w:val="00D57262"/>
    <w:rsid w:val="00D67D23"/>
    <w:rsid w:val="00D777A8"/>
    <w:rsid w:val="00DB1565"/>
    <w:rsid w:val="00DB2394"/>
    <w:rsid w:val="00DD37C7"/>
    <w:rsid w:val="00DE1B95"/>
    <w:rsid w:val="00DF1C85"/>
    <w:rsid w:val="00E114DB"/>
    <w:rsid w:val="00E171B9"/>
    <w:rsid w:val="00E21202"/>
    <w:rsid w:val="00E22D67"/>
    <w:rsid w:val="00E2790C"/>
    <w:rsid w:val="00E36F0D"/>
    <w:rsid w:val="00E420D0"/>
    <w:rsid w:val="00E50C68"/>
    <w:rsid w:val="00E53631"/>
    <w:rsid w:val="00E677BC"/>
    <w:rsid w:val="00E72F2A"/>
    <w:rsid w:val="00E73BBC"/>
    <w:rsid w:val="00E80D69"/>
    <w:rsid w:val="00EB21B6"/>
    <w:rsid w:val="00EC60F4"/>
    <w:rsid w:val="00EC6C67"/>
    <w:rsid w:val="00EE1D53"/>
    <w:rsid w:val="00F126FB"/>
    <w:rsid w:val="00F206EB"/>
    <w:rsid w:val="00F22546"/>
    <w:rsid w:val="00F22E49"/>
    <w:rsid w:val="00F6339F"/>
    <w:rsid w:val="00F97464"/>
    <w:rsid w:val="00FB36F9"/>
    <w:rsid w:val="00FD4D9B"/>
    <w:rsid w:val="00FE29AA"/>
    <w:rsid w:val="00F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6DCB"/>
  <w15:chartTrackingRefBased/>
  <w15:docId w15:val="{51D80256-0A81-4503-8295-1C57D92D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120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F22546"/>
    <w:pPr>
      <w:keepNext/>
      <w:keepLines/>
      <w:spacing w:after="0"/>
      <w:outlineLvl w:val="1"/>
    </w:pPr>
    <w:rPr>
      <w:rFonts w:ascii="Tahoma" w:eastAsia="Times New Roman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2546"/>
    <w:pPr>
      <w:keepNext/>
      <w:keepLines/>
      <w:spacing w:before="40" w:after="0"/>
      <w:outlineLvl w:val="2"/>
    </w:pPr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22546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Bezmezer">
    <w:name w:val="No Spacing"/>
    <w:uiPriority w:val="1"/>
    <w:qFormat/>
    <w:rsid w:val="00E21202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F22546"/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paragraph" w:styleId="Normlnweb">
    <w:name w:val="Normal (Web)"/>
    <w:basedOn w:val="Normln"/>
    <w:uiPriority w:val="99"/>
    <w:rsid w:val="00E21202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1202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E2120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21202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E21202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E2120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E2120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21202"/>
    <w:pPr>
      <w:ind w:left="720"/>
      <w:contextualSpacing/>
    </w:pPr>
    <w:rPr>
      <w:rFonts w:ascii="Tahoma" w:eastAsia="Calibri" w:hAnsi="Tahoma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2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202"/>
    <w:rPr>
      <w:rFonts w:ascii="Segoe UI" w:hAnsi="Segoe UI" w:cs="Segoe UI"/>
      <w:sz w:val="18"/>
      <w:szCs w:val="18"/>
    </w:rPr>
  </w:style>
  <w:style w:type="character" w:styleId="Hypertextovodkaz">
    <w:name w:val="Hyperlink"/>
    <w:semiHidden/>
    <w:rsid w:val="00E22D67"/>
    <w:rPr>
      <w:color w:val="0000FF"/>
      <w:u w:val="single"/>
    </w:rPr>
  </w:style>
  <w:style w:type="paragraph" w:customStyle="1" w:styleId="Normln0">
    <w:name w:val="Normln"/>
    <w:rsid w:val="00683AF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8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4</cp:revision>
  <cp:lastPrinted>2021-12-15T10:26:00Z</cp:lastPrinted>
  <dcterms:created xsi:type="dcterms:W3CDTF">2021-12-15T10:27:00Z</dcterms:created>
  <dcterms:modified xsi:type="dcterms:W3CDTF">2021-12-16T08:43:00Z</dcterms:modified>
</cp:coreProperties>
</file>